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7A" w:rsidRDefault="005E0EF2">
      <w:pPr>
        <w:pStyle w:val="1"/>
      </w:pPr>
      <w:bookmarkStart w:id="0" w:name="_GoBack"/>
      <w:bookmarkEnd w:id="0"/>
      <w:r>
        <w:t>ФАС выпустила разъяснения об осуществлении контроля за предоставлением преференций</w:t>
      </w:r>
    </w:p>
    <w:p w:rsidR="0020307A" w:rsidRDefault="005E0EF2">
      <w:r>
        <w:t>04 октября 2022, 16:40</w:t>
      </w:r>
    </w:p>
    <w:p w:rsidR="0020307A" w:rsidRDefault="005E0EF2">
      <w:pPr>
        <w:jc w:val="both"/>
      </w:pPr>
      <w:r>
        <w:rPr>
          <w:i/>
        </w:rPr>
        <w:t>В документе собрана обобщенная практика ведомства о согласовании их предоставления за 10 лет</w:t>
      </w:r>
      <w:r>
        <w:br/>
        <w:t xml:space="preserve">   </w:t>
      </w:r>
      <w:r>
        <w:br/>
        <w:t xml:space="preserve">  </w:t>
      </w:r>
      <w:r>
        <w:t>В разъяснениях раскрывается ряд вопросов, необходимых территориальным органам, хозяйствующим субъектам и органам власти. В частности, подходы антимонопольного органа к оценке соответствия преференции её целям. </w:t>
      </w:r>
    </w:p>
    <w:p w:rsidR="0020307A" w:rsidRDefault="005E0EF2">
      <w:pPr>
        <w:jc w:val="both"/>
      </w:pPr>
      <w:r>
        <w:t xml:space="preserve">Ведомство указывает, что органы власти могут </w:t>
      </w:r>
      <w:r>
        <w:t>направлять обращения в ФАС России на согласование государственных или муниципальных преференций для хозяйствующих субъектов в целях развития образования и науки, физической культуры и спорта, производства сельскохозяйственной продукции, охраны здоровья гра</w:t>
      </w:r>
      <w:r>
        <w:t>ждан, сохранения культурных ценностей, защиты окружающей среды, обеспечения жизнедеятельности населения в районах Крайнего Севера и другие [1].</w:t>
      </w:r>
    </w:p>
    <w:p w:rsidR="0020307A" w:rsidRDefault="005E0EF2">
      <w:pPr>
        <w:jc w:val="both"/>
      </w:pPr>
      <w:r>
        <w:t>Подробно изложена информация о предоставлении преференций в виде передачи государственного или муниципального им</w:t>
      </w:r>
      <w:r>
        <w:t>ущества, имущественных льгот или муниципальных гарантий.</w:t>
      </w:r>
    </w:p>
    <w:p w:rsidR="0020307A" w:rsidRDefault="005E0EF2">
      <w:pPr>
        <w:jc w:val="both"/>
      </w:pPr>
      <w:r>
        <w:t>Так, формой предоставления преференции является заключение договоров аренды между органом власти и получателем преференции, что предполагает уплату арендной платы за пользование государственным или м</w:t>
      </w:r>
      <w:r>
        <w:t>униципальным имуществом. </w:t>
      </w:r>
    </w:p>
    <w:p w:rsidR="0020307A" w:rsidRDefault="005E0EF2">
      <w:pPr>
        <w:jc w:val="both"/>
      </w:pPr>
      <w:r>
        <w:t>Таким образом, пользование имуществом по преференции будет способствовать развитию предпринимательства в социально значимой сфере, а для органа власти это станет дополнительным источником пополнения бюджета. </w:t>
      </w:r>
    </w:p>
    <w:p w:rsidR="0020307A" w:rsidRDefault="005E0EF2">
      <w:pPr>
        <w:jc w:val="both"/>
      </w:pPr>
      <w:r>
        <w:t>Документ был подготов</w:t>
      </w:r>
      <w:r>
        <w:t>лен в соответствии с Национальным планом («дорожной карты») развития конкуренции в Российской Федерации на 2021-2025 годы [2]. Он предусматривает мероприятия по обеспечению правового регулирования, а также унификации и систематизации государственных и муни</w:t>
      </w:r>
      <w:r>
        <w:t>ципальных преференций, в том числе порядка их предоставления.</w:t>
      </w:r>
    </w:p>
    <w:p w:rsidR="0020307A" w:rsidRDefault="005E0EF2">
      <w:pPr>
        <w:jc w:val="both"/>
      </w:pPr>
      <w:r>
        <w:t>Ранее документ был утверждён на Методическом совете службы и одобрен Президиумом ФАС России. </w:t>
      </w:r>
    </w:p>
    <w:p w:rsidR="0020307A" w:rsidRDefault="005E0EF2">
      <w:pPr>
        <w:jc w:val="both"/>
      </w:pPr>
      <w:r>
        <w:t xml:space="preserve">Ознакомиться с текстом Разъяснений можно </w:t>
      </w:r>
      <w:hyperlink r:id="rId5">
        <w:r>
          <w:rPr>
            <w:color w:val="000080"/>
            <w:u w:val="single"/>
          </w:rPr>
          <w:t xml:space="preserve">    </w:t>
        </w:r>
        <w:r>
          <w:rPr>
            <w:color w:val="000080"/>
            <w:u w:val="single"/>
          </w:rPr>
          <w:t xml:space="preserve">       здесь.          </w:t>
        </w:r>
      </w:hyperlink>
    </w:p>
    <w:p w:rsidR="0020307A" w:rsidRDefault="005E0EF2">
      <w:pPr>
        <w:jc w:val="both"/>
      </w:pPr>
      <w:r>
        <w:rPr>
          <w:i/>
        </w:rPr>
        <w:t>Справочно:</w:t>
      </w:r>
    </w:p>
    <w:p w:rsidR="0020307A" w:rsidRDefault="005E0EF2">
      <w:pPr>
        <w:jc w:val="both"/>
      </w:pPr>
      <w:r>
        <w:rPr>
          <w:i/>
        </w:rPr>
        <w:t>[1] Часть 1 статьи 19 Закона о защите конкуренции.</w:t>
      </w:r>
    </w:p>
    <w:p w:rsidR="0020307A" w:rsidRDefault="005E0EF2">
      <w:pPr>
        <w:jc w:val="both"/>
      </w:pPr>
      <w:r>
        <w:rPr>
          <w:i/>
        </w:rPr>
        <w:t>[2] Во исполнение п. 4 Плана оказания методической помощи территориальным органам ФАС России в 2022 году, утвержденного приказом ФАС России от 02.06.2022 № 423/22, пункта</w:t>
      </w:r>
      <w:r>
        <w:rPr>
          <w:i/>
        </w:rPr>
        <w:t xml:space="preserve"> 3.4.2. Плана мероприятий по реализации Стратегии развития конкуренции и антимонопольного регулирования в Российской Федерации на период до 2030 года (I этап – 2020-2024 годы), утвержденного приказом ФАС России от 18.03.2020 № 289/20, разработан указанный </w:t>
      </w:r>
      <w:r>
        <w:rPr>
          <w:i/>
        </w:rPr>
        <w:t>проект разъяснений.</w:t>
      </w:r>
    </w:p>
    <w:sectPr w:rsidR="00203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0307A"/>
    <w:rsid w:val="002C44F1"/>
    <w:rsid w:val="003A7E12"/>
    <w:rsid w:val="00556BF4"/>
    <w:rsid w:val="005C665D"/>
    <w:rsid w:val="005E0EF2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1">
    <w:name w:val="heading 1"/>
    <w:basedOn w:val="a"/>
    <w:next w:val="2"/>
    <w:link w:val="10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5">
    <w:name w:val="heading 5"/>
    <w:basedOn w:val="4"/>
    <w:next w:val="a"/>
    <w:link w:val="50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1"/>
    <w:next w:val="a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a1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a3">
    <w:name w:val="List Paragraph"/>
    <w:basedOn w:val="a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1">
    <w:name w:val="heading 1"/>
    <w:basedOn w:val="a"/>
    <w:next w:val="2"/>
    <w:link w:val="10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5">
    <w:name w:val="heading 5"/>
    <w:basedOn w:val="4"/>
    <w:next w:val="a"/>
    <w:link w:val="50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1"/>
    <w:next w:val="a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a1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a3">
    <w:name w:val="List Paragraph"/>
    <w:basedOn w:val="a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documents/688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Мелитоновна Кудухова</dc:creator>
  <cp:lastModifiedBy>Зарина Мелитоновна Кудухова</cp:lastModifiedBy>
  <cp:revision>2</cp:revision>
  <dcterms:created xsi:type="dcterms:W3CDTF">2022-10-06T07:08:00Z</dcterms:created>
  <dcterms:modified xsi:type="dcterms:W3CDTF">2022-10-06T07:08:00Z</dcterms:modified>
</cp:coreProperties>
</file>