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F" w:rsidRDefault="004D65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55F" w:rsidRDefault="004D655F">
      <w:pPr>
        <w:pStyle w:val="ConsPlusNormal"/>
        <w:jc w:val="center"/>
        <w:outlineLvl w:val="0"/>
      </w:pPr>
    </w:p>
    <w:p w:rsidR="004D655F" w:rsidRDefault="004D655F">
      <w:pPr>
        <w:pStyle w:val="ConsPlusTitle"/>
        <w:jc w:val="center"/>
      </w:pPr>
      <w:r>
        <w:t>ФЕДЕРАЛЬНАЯ АНТИМОНОПОЛЬНАЯ СЛУЖБА</w:t>
      </w:r>
    </w:p>
    <w:p w:rsidR="004D655F" w:rsidRDefault="004D655F">
      <w:pPr>
        <w:pStyle w:val="ConsPlusTitle"/>
        <w:jc w:val="center"/>
      </w:pPr>
    </w:p>
    <w:p w:rsidR="004D655F" w:rsidRDefault="004D655F">
      <w:pPr>
        <w:pStyle w:val="ConsPlusTitle"/>
        <w:jc w:val="center"/>
      </w:pPr>
      <w:r>
        <w:t>ПИСЬМО</w:t>
      </w:r>
    </w:p>
    <w:p w:rsidR="004D655F" w:rsidRDefault="004D655F">
      <w:pPr>
        <w:pStyle w:val="ConsPlusTitle"/>
        <w:jc w:val="center"/>
      </w:pPr>
      <w:r>
        <w:t>от 17 июня 2015 г. N ИА/29987/15</w:t>
      </w:r>
    </w:p>
    <w:p w:rsidR="004D655F" w:rsidRDefault="004D655F">
      <w:pPr>
        <w:pStyle w:val="ConsPlusTitle"/>
        <w:jc w:val="center"/>
      </w:pPr>
    </w:p>
    <w:p w:rsidR="004D655F" w:rsidRDefault="004D655F">
      <w:pPr>
        <w:pStyle w:val="ConsPlusTitle"/>
        <w:jc w:val="center"/>
      </w:pPr>
      <w:r>
        <w:t>О НАПРАВЛЕНИИ</w:t>
      </w:r>
    </w:p>
    <w:p w:rsidR="004D655F" w:rsidRDefault="004D655F">
      <w:pPr>
        <w:pStyle w:val="ConsPlusTitle"/>
        <w:jc w:val="center"/>
      </w:pPr>
      <w:r>
        <w:t>РАЗЪЯСНЕНИЙ ФАС РОССИИ ПО РАССМОТРЕНИЮ ЖАЛОБ И ОБРАЩЕНИЙ</w:t>
      </w:r>
    </w:p>
    <w:p w:rsidR="004D655F" w:rsidRDefault="004D655F">
      <w:pPr>
        <w:pStyle w:val="ConsPlusTitle"/>
        <w:jc w:val="center"/>
      </w:pPr>
      <w:r>
        <w:t>НА ОСУЩЕСТВЛЕНИЕ ЗАКУПОК ВАКУУМНЫХ СИСТЕМ ЗАБОРА КРОВИ</w:t>
      </w:r>
    </w:p>
    <w:p w:rsidR="004D655F" w:rsidRDefault="004D655F">
      <w:pPr>
        <w:pStyle w:val="ConsPlusNormal"/>
        <w:jc w:val="center"/>
      </w:pPr>
    </w:p>
    <w:p w:rsidR="004D655F" w:rsidRDefault="004D655F">
      <w:pPr>
        <w:pStyle w:val="ConsPlusNormal"/>
        <w:ind w:firstLine="540"/>
        <w:jc w:val="both"/>
      </w:pPr>
      <w:r>
        <w:t>Федеральная антимонопольная служба, исследовав практику закупок вакуумных систем забора крови, пришла к выводу о необходимости разъяснить особенности рассмотрения жалоб и обращений на закупки вакуумных систем забора крови.</w:t>
      </w:r>
    </w:p>
    <w:p w:rsidR="004D655F" w:rsidRDefault="004D655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пунктов 5</w:t>
        </w:r>
      </w:hyperlink>
      <w:r>
        <w:t xml:space="preserve"> и </w:t>
      </w:r>
      <w:hyperlink r:id="rId7" w:history="1">
        <w:r>
          <w:rPr>
            <w:color w:val="0000FF"/>
          </w:rPr>
          <w:t>9 статьи 23</w:t>
        </w:r>
      </w:hyperlink>
      <w:r>
        <w:t xml:space="preserve"> Федерального закона от 26.07.2006 N 135-ФЗ "О защите конкуренции" (далее - Закон о защите конкуренции) с целью недопущения ограничения и устранения конкуренции при осуществлении закупок для государственных и муниципальных нужд вакуумных систем забора крови, закрепления единой практики применения законодательства, регулирующего вопросы проведения закупок и конкуренции, ФАС России направляет разъяснения по рассмотрению жалоб и</w:t>
      </w:r>
      <w:proofErr w:type="gramEnd"/>
      <w:r>
        <w:t xml:space="preserve"> обращений на осуществление закупок вакуумных систем забора крови, отвечающие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</w:t>
      </w:r>
      <w:hyperlink r:id="rId9" w:history="1">
        <w:r>
          <w:rPr>
            <w:color w:val="0000FF"/>
          </w:rPr>
          <w:t>Закона</w:t>
        </w:r>
      </w:hyperlink>
      <w:r>
        <w:t xml:space="preserve"> о защите конкуренции.</w:t>
      </w:r>
    </w:p>
    <w:p w:rsidR="004D655F" w:rsidRDefault="004D655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17</w:t>
        </w:r>
      </w:hyperlink>
      <w:r>
        <w:t xml:space="preserve"> Закона о защите конкуренции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4D655F" w:rsidRDefault="004D655F">
      <w:pPr>
        <w:pStyle w:val="ConsPlusNormal"/>
        <w:ind w:firstLine="540"/>
        <w:jc w:val="both"/>
      </w:pPr>
      <w:r>
        <w:t xml:space="preserve">Кроме того, согласно </w:t>
      </w:r>
      <w:hyperlink r:id="rId11" w:history="1">
        <w:r>
          <w:rPr>
            <w:color w:val="0000FF"/>
          </w:rPr>
          <w:t>части 1 статьи 33</w:t>
        </w:r>
      </w:hyperlink>
      <w:r>
        <w:t xml:space="preserve">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t xml:space="preserve"> точное и четкое описание характеристик объекта закупки.</w:t>
      </w:r>
    </w:p>
    <w:p w:rsidR="004D655F" w:rsidRDefault="004D655F">
      <w:pPr>
        <w:pStyle w:val="ConsPlusNormal"/>
        <w:ind w:firstLine="540"/>
        <w:jc w:val="both"/>
      </w:pPr>
      <w:r>
        <w:t>Вакуумные системы забора крови состоят из нескольких элементов, а именно: вакуумный контейнер (одноразовая пробирка с пробкой и крышкой), держатель и специальная игла.</w:t>
      </w:r>
    </w:p>
    <w:p w:rsidR="004D655F" w:rsidRDefault="004D655F">
      <w:pPr>
        <w:pStyle w:val="ConsPlusNormal"/>
        <w:ind w:firstLine="540"/>
        <w:jc w:val="both"/>
      </w:pPr>
      <w:r>
        <w:t xml:space="preserve">Одноразовые пробирки выпускаются в типовых размерах и имеют разный объем заполнения. Согласно </w:t>
      </w: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53079.4-2008</w:t>
        </w:r>
      </w:hyperlink>
      <w:r>
        <w:t xml:space="preserve"> "Национальный стандарт Российской Федерации. Технологии лабораторные клинические. Обеспечение качества клинических лабораторных исследований. Часть 4. Правила ведения преаналитического этапа" при использовании современных анализаторов достаточны следующие объемы образцов:</w:t>
      </w:r>
    </w:p>
    <w:p w:rsidR="004D655F" w:rsidRDefault="004D655F">
      <w:pPr>
        <w:pStyle w:val="ConsPlusNormal"/>
        <w:ind w:firstLine="540"/>
        <w:jc w:val="both"/>
      </w:pPr>
      <w:r>
        <w:t>- для биохимических исследований: 4 - 5 мл; при использовании гепаринизированной плазмы: 3 - 4 мл;</w:t>
      </w:r>
    </w:p>
    <w:p w:rsidR="004D655F" w:rsidRDefault="004D655F">
      <w:pPr>
        <w:pStyle w:val="ConsPlusNormal"/>
        <w:ind w:firstLine="540"/>
        <w:jc w:val="both"/>
      </w:pPr>
      <w:r>
        <w:t>- для гематологических исследований: 2 - 3 мл крови с ЭДТА;</w:t>
      </w:r>
    </w:p>
    <w:p w:rsidR="004D655F" w:rsidRDefault="004D655F">
      <w:pPr>
        <w:pStyle w:val="ConsPlusNormal"/>
        <w:ind w:firstLine="540"/>
        <w:jc w:val="both"/>
      </w:pPr>
      <w:r>
        <w:t>- для исследований свертывающей системы: 2 - 3 мл цитратной крови;</w:t>
      </w:r>
    </w:p>
    <w:p w:rsidR="004D655F" w:rsidRDefault="004D655F">
      <w:pPr>
        <w:pStyle w:val="ConsPlusNormal"/>
        <w:ind w:firstLine="540"/>
        <w:jc w:val="both"/>
      </w:pPr>
      <w:r>
        <w:t>- для иммуноисследований, включая исследования белков и др.: 1 мл цельной крови для 3 - 4 иммуноанализов;</w:t>
      </w:r>
    </w:p>
    <w:p w:rsidR="004D655F" w:rsidRDefault="004D655F">
      <w:pPr>
        <w:pStyle w:val="ConsPlusNormal"/>
        <w:ind w:firstLine="540"/>
        <w:jc w:val="both"/>
      </w:pPr>
      <w:r>
        <w:t>- для исследования скорости оседания эритроцитов: 2 - 3 мл цитратной крови;</w:t>
      </w:r>
    </w:p>
    <w:p w:rsidR="004D655F" w:rsidRDefault="004D655F">
      <w:pPr>
        <w:pStyle w:val="ConsPlusNormal"/>
        <w:ind w:firstLine="540"/>
        <w:jc w:val="both"/>
      </w:pPr>
      <w:r>
        <w:t xml:space="preserve">- для исследования газов крови: капиллярная кровь - 50 мкл (микролитров); артериальная </w:t>
      </w:r>
      <w:r>
        <w:lastRenderedPageBreak/>
        <w:t>или венозная кровь с гепарином - 1 мл.</w:t>
      </w:r>
    </w:p>
    <w:p w:rsidR="004D655F" w:rsidRDefault="004D655F">
      <w:pPr>
        <w:pStyle w:val="ConsPlusNormal"/>
        <w:ind w:firstLine="540"/>
        <w:jc w:val="both"/>
      </w:pPr>
      <w:r>
        <w:t xml:space="preserve">Вакуумные контейнеры в зависимости от назначенного вида исследования содержат необходимые добавки. Цветовая кодировка крышки пробирки указывает на разновидность добавки в контейнере и ее назначение. В соответствии с </w:t>
      </w:r>
      <w:hyperlink r:id="rId1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 6710-2011</w:t>
        </w:r>
      </w:hyperlink>
      <w:r>
        <w:t xml:space="preserve"> "Национальный стандарт Российской Федерации. Контейнеры для сбора образцов венозной крови одноразовые. Технические требования и методы испытаний" контейнеры должны быть идентифицированы с помощью буквенного кода и/или описания добавок. Например:</w:t>
      </w:r>
    </w:p>
    <w:p w:rsidR="004D655F" w:rsidRDefault="004D655F">
      <w:pPr>
        <w:sectPr w:rsidR="004D655F" w:rsidSect="00E650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55F" w:rsidRDefault="004D655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987"/>
        <w:gridCol w:w="3689"/>
      </w:tblGrid>
      <w:tr w:rsidR="004D655F">
        <w:tc>
          <w:tcPr>
            <w:tcW w:w="4104" w:type="dxa"/>
          </w:tcPr>
          <w:p w:rsidR="004D655F" w:rsidRDefault="004D655F">
            <w:pPr>
              <w:pStyle w:val="ConsPlusNormal"/>
              <w:jc w:val="center"/>
            </w:pPr>
            <w:r>
              <w:t>Добавки</w:t>
            </w:r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center"/>
            </w:pPr>
            <w:r>
              <w:t>Буквенные коды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center"/>
            </w:pPr>
            <w:r>
              <w:t>Рекомендуемые цветовые коды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  <w:jc w:val="both"/>
            </w:pPr>
            <w:r>
              <w:t xml:space="preserve">ЭДТА </w:t>
            </w:r>
            <w:hyperlink w:anchor="P63" w:history="1">
              <w:r>
                <w:rPr>
                  <w:color w:val="0000FF"/>
                </w:rPr>
                <w:t>&lt;a&gt;</w:t>
              </w:r>
            </w:hyperlink>
            <w:r>
              <w:t xml:space="preserve"> двукалиевая соль</w:t>
            </w:r>
          </w:p>
          <w:p w:rsidR="004D655F" w:rsidRDefault="004D655F">
            <w:pPr>
              <w:pStyle w:val="ConsPlusNormal"/>
              <w:ind w:firstLine="1080"/>
              <w:jc w:val="both"/>
            </w:pPr>
            <w:r>
              <w:t>трикалиевая соль</w:t>
            </w:r>
          </w:p>
          <w:p w:rsidR="004D655F" w:rsidRDefault="004D655F">
            <w:pPr>
              <w:pStyle w:val="ConsPlusNormal"/>
              <w:ind w:firstLine="1080"/>
              <w:jc w:val="both"/>
            </w:pPr>
            <w:r>
              <w:t>двунатриевая соль</w:t>
            </w:r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K2E</w:t>
            </w:r>
          </w:p>
          <w:p w:rsidR="004D655F" w:rsidRDefault="004D655F">
            <w:pPr>
              <w:pStyle w:val="ConsPlusNormal"/>
              <w:jc w:val="both"/>
            </w:pPr>
            <w:r>
              <w:t>K3E</w:t>
            </w:r>
          </w:p>
          <w:p w:rsidR="004D655F" w:rsidRDefault="004D655F">
            <w:pPr>
              <w:pStyle w:val="ConsPlusNormal"/>
              <w:jc w:val="both"/>
            </w:pPr>
            <w:r>
              <w:t>N2E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Бледно-лиловый цвет</w:t>
            </w:r>
          </w:p>
          <w:p w:rsidR="004D655F" w:rsidRDefault="004D655F">
            <w:pPr>
              <w:pStyle w:val="ConsPlusNormal"/>
              <w:jc w:val="both"/>
            </w:pPr>
            <w:r>
              <w:t>Бледно-лиловый цвет</w:t>
            </w:r>
          </w:p>
          <w:p w:rsidR="004D655F" w:rsidRDefault="004D655F">
            <w:pPr>
              <w:pStyle w:val="ConsPlusNormal"/>
              <w:jc w:val="both"/>
            </w:pPr>
            <w:r>
              <w:t>Бледно-лиловый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  <w:jc w:val="both"/>
            </w:pPr>
            <w:r>
              <w:t xml:space="preserve">Тринатрий цитрат 9:1 </w:t>
            </w:r>
            <w:hyperlink w:anchor="P63" w:history="1">
              <w:r>
                <w:rPr>
                  <w:color w:val="0000FF"/>
                </w:rPr>
                <w:t>&lt;b&gt;</w:t>
              </w:r>
            </w:hyperlink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9NC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Бледно-голубой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</w:pPr>
            <w:r>
              <w:t xml:space="preserve">Тринатрий цитрат 4:1 </w:t>
            </w:r>
            <w:hyperlink w:anchor="P63" w:history="1">
              <w:r>
                <w:rPr>
                  <w:color w:val="0000FF"/>
                </w:rPr>
                <w:t>&lt;b&gt;</w:t>
              </w:r>
            </w:hyperlink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4NC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Черный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</w:pPr>
            <w:r>
              <w:t>Фторид/оксалат</w:t>
            </w:r>
          </w:p>
          <w:p w:rsidR="004D655F" w:rsidRDefault="004D655F">
            <w:pPr>
              <w:pStyle w:val="ConsPlusNormal"/>
            </w:pPr>
            <w:r>
              <w:t>Фторид/ЭДТА</w:t>
            </w:r>
          </w:p>
          <w:p w:rsidR="004D655F" w:rsidRDefault="004D655F">
            <w:pPr>
              <w:pStyle w:val="ConsPlusNormal"/>
            </w:pPr>
            <w:r>
              <w:t>Фторид/гепарин</w:t>
            </w:r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FX</w:t>
            </w:r>
          </w:p>
          <w:p w:rsidR="004D655F" w:rsidRDefault="004D655F">
            <w:pPr>
              <w:pStyle w:val="ConsPlusNormal"/>
              <w:jc w:val="both"/>
            </w:pPr>
            <w:r>
              <w:t>FE</w:t>
            </w:r>
          </w:p>
          <w:p w:rsidR="004D655F" w:rsidRDefault="004D655F">
            <w:pPr>
              <w:pStyle w:val="ConsPlusNormal"/>
              <w:jc w:val="both"/>
            </w:pPr>
            <w:r>
              <w:t>FH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Серый цвет</w:t>
            </w:r>
          </w:p>
          <w:p w:rsidR="004D655F" w:rsidRDefault="004D655F">
            <w:pPr>
              <w:pStyle w:val="ConsPlusNormal"/>
              <w:jc w:val="both"/>
            </w:pPr>
            <w:r>
              <w:t>Серый цвет</w:t>
            </w:r>
          </w:p>
          <w:p w:rsidR="004D655F" w:rsidRDefault="004D655F">
            <w:pPr>
              <w:pStyle w:val="ConsPlusNormal"/>
              <w:jc w:val="both"/>
            </w:pPr>
            <w:r>
              <w:t>Зеленый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</w:pPr>
            <w:r>
              <w:t>Литий гепарин</w:t>
            </w:r>
          </w:p>
          <w:p w:rsidR="004D655F" w:rsidRDefault="004D655F">
            <w:pPr>
              <w:pStyle w:val="ConsPlusNormal"/>
            </w:pPr>
            <w:r>
              <w:t>Натрий гепарин</w:t>
            </w:r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LH</w:t>
            </w:r>
          </w:p>
          <w:p w:rsidR="004D655F" w:rsidRDefault="004D655F">
            <w:pPr>
              <w:pStyle w:val="ConsPlusNormal"/>
              <w:jc w:val="both"/>
            </w:pPr>
            <w:r>
              <w:t>NH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Зеленый цвет</w:t>
            </w:r>
          </w:p>
          <w:p w:rsidR="004D655F" w:rsidRDefault="004D655F">
            <w:pPr>
              <w:pStyle w:val="ConsPlusNormal"/>
              <w:jc w:val="both"/>
            </w:pPr>
            <w:r>
              <w:t>Зеленый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</w:pPr>
            <w:r>
              <w:t>Цитрат фосфат декстроза аденин</w:t>
            </w:r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CPDA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Желтый цвет</w:t>
            </w:r>
          </w:p>
        </w:tc>
      </w:tr>
      <w:tr w:rsidR="004D655F">
        <w:tc>
          <w:tcPr>
            <w:tcW w:w="4104" w:type="dxa"/>
          </w:tcPr>
          <w:p w:rsidR="004D655F" w:rsidRDefault="004D655F">
            <w:pPr>
              <w:pStyle w:val="ConsPlusNormal"/>
            </w:pPr>
            <w:r>
              <w:t xml:space="preserve">Ничего </w:t>
            </w:r>
            <w:hyperlink w:anchor="P63" w:history="1">
              <w:r>
                <w:rPr>
                  <w:color w:val="0000FF"/>
                </w:rPr>
                <w:t>&lt;c&gt;</w:t>
              </w:r>
            </w:hyperlink>
          </w:p>
        </w:tc>
        <w:tc>
          <w:tcPr>
            <w:tcW w:w="1987" w:type="dxa"/>
          </w:tcPr>
          <w:p w:rsidR="004D655F" w:rsidRDefault="004D655F">
            <w:pPr>
              <w:pStyle w:val="ConsPlusNormal"/>
              <w:jc w:val="both"/>
            </w:pPr>
            <w:r>
              <w:t>Z</w:t>
            </w:r>
          </w:p>
        </w:tc>
        <w:tc>
          <w:tcPr>
            <w:tcW w:w="3689" w:type="dxa"/>
          </w:tcPr>
          <w:p w:rsidR="004D655F" w:rsidRDefault="004D655F">
            <w:pPr>
              <w:pStyle w:val="ConsPlusNormal"/>
              <w:jc w:val="both"/>
            </w:pPr>
            <w:r>
              <w:t>Красный цвет</w:t>
            </w:r>
          </w:p>
        </w:tc>
      </w:tr>
      <w:tr w:rsidR="004D655F">
        <w:tc>
          <w:tcPr>
            <w:tcW w:w="9780" w:type="dxa"/>
            <w:gridSpan w:val="3"/>
          </w:tcPr>
          <w:p w:rsidR="004D655F" w:rsidRDefault="004D655F">
            <w:pPr>
              <w:pStyle w:val="ConsPlusNormal"/>
              <w:ind w:firstLine="600"/>
              <w:jc w:val="both"/>
            </w:pPr>
            <w:bookmarkStart w:id="0" w:name="P63"/>
            <w:bookmarkEnd w:id="0"/>
            <w:r>
              <w:t>&lt;a&gt; ЭДТА - это применяемая на практике аббревиатура названия этилендиаминтетрауксусной кислоты вместо правильного систематического наименования, то есть (этилендинитрило) уксусная кислота.</w:t>
            </w:r>
          </w:p>
          <w:p w:rsidR="004D655F" w:rsidRDefault="004D655F">
            <w:pPr>
              <w:pStyle w:val="ConsPlusNormal"/>
              <w:ind w:firstLine="600"/>
              <w:jc w:val="both"/>
            </w:pPr>
            <w:r>
              <w:t>&lt;b&gt; Отмечено отношение между желательными объемами крови и жидкого антикоагулянта (например, 9 объемов крови к одному объему раствора цитрата).</w:t>
            </w:r>
          </w:p>
          <w:p w:rsidR="004D655F" w:rsidRDefault="004D655F">
            <w:pPr>
              <w:pStyle w:val="ConsPlusNormal"/>
              <w:ind w:firstLine="600"/>
              <w:jc w:val="both"/>
            </w:pPr>
            <w:r>
              <w:t>&lt;c</w:t>
            </w:r>
            <w:proofErr w:type="gramStart"/>
            <w:r>
              <w:t>&gt; Р</w:t>
            </w:r>
            <w:proofErr w:type="gramEnd"/>
            <w:r>
              <w:t>екомендуется, чтобы контейнеры с ускорителем свертывания крови могли обозначаться буквенным кодом Z и иметь красный цветовой код с описанием добавки.</w:t>
            </w:r>
          </w:p>
        </w:tc>
      </w:tr>
    </w:tbl>
    <w:p w:rsidR="004D655F" w:rsidRDefault="004D655F">
      <w:pPr>
        <w:sectPr w:rsidR="004D65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655F" w:rsidRDefault="004D655F">
      <w:pPr>
        <w:pStyle w:val="ConsPlusNormal"/>
        <w:ind w:firstLine="540"/>
        <w:jc w:val="both"/>
      </w:pPr>
    </w:p>
    <w:p w:rsidR="004D655F" w:rsidRDefault="004D655F">
      <w:pPr>
        <w:pStyle w:val="ConsPlusNormal"/>
        <w:ind w:firstLine="540"/>
        <w:jc w:val="both"/>
      </w:pPr>
      <w:r>
        <w:t>Вместе с тем в настоящее время международное соглашение относительно цветной кодировки отсутствует. При использовании цветной кодировки рекомендуются коды, указанные в таблице. При использовании цветной кодировки рекомендуется, чтобы цвет крышки соответствовал цвету пробирки или этикетки.</w:t>
      </w:r>
    </w:p>
    <w:p w:rsidR="004D655F" w:rsidRDefault="004D655F">
      <w:pPr>
        <w:pStyle w:val="ConsPlusNormal"/>
        <w:ind w:firstLine="540"/>
        <w:jc w:val="both"/>
      </w:pPr>
      <w:proofErr w:type="gramStart"/>
      <w:r>
        <w:t xml:space="preserve">ФАС России обращает внимание, что согласно </w:t>
      </w:r>
      <w:hyperlink r:id="rId14" w:history="1">
        <w:r>
          <w:rPr>
            <w:color w:val="0000FF"/>
          </w:rPr>
          <w:t>части 4 статьи 38</w:t>
        </w:r>
      </w:hyperlink>
      <w:r>
        <w:t xml:space="preserve"> Федерального закона от 21.11.2011 N 323-ФЗ "Об основах охраны здоровья граждан в Российской Федерации" (далее - Закон об охране здоровья граждан)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  <w:proofErr w:type="gramEnd"/>
    </w:p>
    <w:p w:rsidR="004D655F" w:rsidRDefault="004D655F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1416 "Об утверждении правил государственной регистрации медицинский изделий" в процессе государственной регистрации медицинского изделия подтверждается его качество, эффективность и безопасность. Зарегистрированное медицинское изделие отвечает установленным требованиям качества, эффективности, безопасности и может применяться по назначению.</w:t>
      </w:r>
    </w:p>
    <w:p w:rsidR="004D655F" w:rsidRDefault="004D655F">
      <w:pPr>
        <w:pStyle w:val="ConsPlusNormal"/>
        <w:ind w:firstLine="540"/>
        <w:jc w:val="both"/>
      </w:pPr>
      <w:r>
        <w:t>Таким образом, наличие двойного цветового кодирования крышки (представляет собой непосредственно цвет самой крышки и идентификационного цветного кольца), наличие или отсутствие резьбового соединения крышки с пробиркой, а также размер крышки не влияют на качество, эффективность и безопасность применения вакуумных систем забора крови.</w:t>
      </w:r>
    </w:p>
    <w:p w:rsidR="004D655F" w:rsidRDefault="004D655F">
      <w:pPr>
        <w:pStyle w:val="ConsPlusNormal"/>
        <w:ind w:firstLine="540"/>
        <w:jc w:val="both"/>
      </w:pPr>
      <w:r>
        <w:t>Учитывая вышеизложенное, ФАС России исходит из того, что в отсутствии решения уполномоченного федерального органа исполнительной власти (Росздравнадзора) об ограничении обращения вакуумных систем забора крови заказчики не могут ограничивать их обращение путем создания неконкурентных условий.</w:t>
      </w:r>
    </w:p>
    <w:p w:rsidR="004D655F" w:rsidRDefault="004D655F">
      <w:pPr>
        <w:pStyle w:val="ConsPlusNormal"/>
        <w:ind w:firstLine="540"/>
        <w:jc w:val="both"/>
      </w:pPr>
      <w:r>
        <w:t xml:space="preserve">ФАС России сообщает, что в соответствии со </w:t>
      </w:r>
      <w:hyperlink r:id="rId16" w:history="1">
        <w:r>
          <w:rPr>
            <w:color w:val="0000FF"/>
          </w:rPr>
          <w:t>статьей 4</w:t>
        </w:r>
      </w:hyperlink>
      <w:r>
        <w:t xml:space="preserve"> Закона о защите конкуренции:</w:t>
      </w:r>
    </w:p>
    <w:p w:rsidR="004D655F" w:rsidRDefault="004D655F">
      <w:pPr>
        <w:pStyle w:val="ConsPlusNormal"/>
        <w:ind w:firstLine="540"/>
        <w:jc w:val="both"/>
      </w:pPr>
      <w:r>
        <w:t>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целях);</w:t>
      </w:r>
    </w:p>
    <w:p w:rsidR="004D655F" w:rsidRDefault="004D655F">
      <w:pPr>
        <w:pStyle w:val="ConsPlusNormal"/>
        <w:ind w:firstLine="540"/>
        <w:jc w:val="both"/>
      </w:pPr>
      <w:proofErr w:type="gramStart"/>
      <w:r>
        <w:t>товарный рынок - это сфера обращения товара (в том числе товара иностранного производства), который не может быть заменен другим товаром, или взаимозаменяемых товаров (определенный товар),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  <w:proofErr w:type="gramEnd"/>
    </w:p>
    <w:p w:rsidR="004D655F" w:rsidRDefault="004D655F">
      <w:pPr>
        <w:pStyle w:val="ConsPlusNormal"/>
        <w:ind w:firstLine="540"/>
        <w:jc w:val="both"/>
      </w:pPr>
      <w:r>
        <w:t xml:space="preserve">Антимонопольное определение взаимозаменяемости корреспондируется с </w:t>
      </w:r>
      <w:hyperlink r:id="rId17" w:history="1">
        <w:r>
          <w:rPr>
            <w:color w:val="0000FF"/>
          </w:rPr>
          <w:t>частью 1 статьи 38</w:t>
        </w:r>
      </w:hyperlink>
      <w:r>
        <w:t xml:space="preserve"> Закона об охране здоровья граждан, согласно которой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4D655F" w:rsidRDefault="004D655F">
      <w:pPr>
        <w:pStyle w:val="ConsPlusNormal"/>
        <w:ind w:firstLine="540"/>
        <w:jc w:val="both"/>
      </w:pPr>
      <w:r>
        <w:t>ФАС России считает, что вакуумные системы забора крови, зарегистрированные на территории Российской Федерации, имеющие общее назначение, являются взаимозаменяемыми и формируют один товарный рынок.</w:t>
      </w:r>
    </w:p>
    <w:p w:rsidR="004D655F" w:rsidRDefault="004D655F">
      <w:pPr>
        <w:pStyle w:val="ConsPlusNormal"/>
        <w:ind w:firstLine="540"/>
        <w:jc w:val="both"/>
      </w:pPr>
      <w:r>
        <w:t>Таким образом, ФАС России обращает внимание, что при осуществлении закупок вакуумных систем забора крови недопустимо устанавливать требования о размере крышки пробирки, наличии или отсутствии резьбового соединения пробирки и крышки, двойной цветовой кодировке крышки пробирки.</w:t>
      </w:r>
    </w:p>
    <w:p w:rsidR="004D655F" w:rsidRDefault="004D655F">
      <w:pPr>
        <w:pStyle w:val="ConsPlusNormal"/>
        <w:ind w:firstLine="540"/>
        <w:jc w:val="both"/>
      </w:pPr>
    </w:p>
    <w:p w:rsidR="004D655F" w:rsidRDefault="004D655F">
      <w:pPr>
        <w:pStyle w:val="ConsPlusNormal"/>
        <w:jc w:val="right"/>
      </w:pPr>
      <w:r>
        <w:t>И.Ю.АРТЕМЬЕВ</w:t>
      </w:r>
    </w:p>
    <w:p w:rsidR="004D655F" w:rsidRDefault="004D655F">
      <w:pPr>
        <w:pStyle w:val="ConsPlusNormal"/>
        <w:ind w:firstLine="540"/>
        <w:jc w:val="both"/>
      </w:pPr>
    </w:p>
    <w:p w:rsidR="004D655F" w:rsidRDefault="004D655F">
      <w:pPr>
        <w:pStyle w:val="ConsPlusNormal"/>
        <w:ind w:firstLine="540"/>
        <w:jc w:val="both"/>
      </w:pPr>
    </w:p>
    <w:p w:rsidR="004D655F" w:rsidRDefault="004D6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AE6" w:rsidRDefault="006F3AE6">
      <w:bookmarkStart w:id="1" w:name="_GoBack"/>
      <w:bookmarkEnd w:id="1"/>
    </w:p>
    <w:sectPr w:rsidR="006F3AE6" w:rsidSect="009C35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F"/>
    <w:rsid w:val="004D655F"/>
    <w:rsid w:val="006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CB4386A071F20FFF5F417BC13FFE382B98E9CAC1DBC89D84F03160W4iDJ" TargetMode="External"/><Relationship Id="rId13" Type="http://schemas.openxmlformats.org/officeDocument/2006/relationships/hyperlink" Target="consultantplus://offline/ref=D42CCB4386A071F20FFF5C5462C13FFE332D9BE9C0978CCACCD1FEW3i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CCB4386A071F20FFF5F417BC13FFE382A9BE2CAC2DBC89D84F031604D0718B9C6AB3065WCiEJ" TargetMode="External"/><Relationship Id="rId12" Type="http://schemas.openxmlformats.org/officeDocument/2006/relationships/hyperlink" Target="consultantplus://offline/ref=D42CCB4386A071F20FFF5C5462C13FFE322292EEC0978CCACCD1FEW3i4J" TargetMode="External"/><Relationship Id="rId17" Type="http://schemas.openxmlformats.org/officeDocument/2006/relationships/hyperlink" Target="consultantplus://offline/ref=D42CCB4386A071F20FFF5F417BC13FFE382A9AE9CAC8DBC89D84F031604D0718B9C6AB3360CCF62AW7i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2CCB4386A071F20FFF5F417BC13FFE382A9BE2CAC2DBC89D84F031604D0718B9C6AB3360CCF229W7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82A9BE2CAC2DBC89D84F031604D0718B9C6AB3360CCF02EW7i5J" TargetMode="External"/><Relationship Id="rId11" Type="http://schemas.openxmlformats.org/officeDocument/2006/relationships/hyperlink" Target="consultantplus://offline/ref=D42CCB4386A071F20FFF5F417BC13FFE382B98E9CAC1DBC89D84F031604D0718B9C6AB3360CCF123W7i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2CCB4386A071F20FFF5F417BC13FFE382B99ECC8C8DBC89D84F03160W4iDJ" TargetMode="External"/><Relationship Id="rId10" Type="http://schemas.openxmlformats.org/officeDocument/2006/relationships/hyperlink" Target="consultantplus://offline/ref=D42CCB4386A071F20FFF5F417BC13FFE382A9BE2CAC2DBC89D84F031604D0718B9C6AB3466WCi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CCB4386A071F20FFF5F417BC13FFE382A9BE2CAC2DBC89D84F03160W4iDJ" TargetMode="External"/><Relationship Id="rId14" Type="http://schemas.openxmlformats.org/officeDocument/2006/relationships/hyperlink" Target="consultantplus://offline/ref=D42CCB4386A071F20FFF5F417BC13FFE382A9AE9CAC8DBC89D84F031604D0718B9C6AB3360CCF62AW7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1</cp:revision>
  <dcterms:created xsi:type="dcterms:W3CDTF">2017-03-09T09:34:00Z</dcterms:created>
  <dcterms:modified xsi:type="dcterms:W3CDTF">2017-03-09T09:35:00Z</dcterms:modified>
</cp:coreProperties>
</file>