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Pr="00366FF8" w:rsidRDefault="00366FF8" w:rsidP="00CF4436">
      <w:pPr>
        <w:rPr>
          <w:b/>
          <w:color w:val="auto"/>
        </w:rPr>
      </w:pPr>
    </w:p>
    <w:p w:rsidR="00366FF8" w:rsidRP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F5633E">
      <w:pPr>
        <w:ind w:left="-567" w:right="283"/>
        <w:jc w:val="center"/>
        <w:rPr>
          <w:b/>
          <w:color w:val="auto"/>
        </w:rPr>
      </w:pPr>
    </w:p>
    <w:p w:rsidR="00366FF8" w:rsidRDefault="00405F91" w:rsidP="00F5633E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 xml:space="preserve">15 февраля </w:t>
      </w:r>
      <w:r w:rsidR="00366FF8" w:rsidRPr="00366FF8">
        <w:rPr>
          <w:b/>
          <w:color w:val="auto"/>
        </w:rPr>
        <w:t>201</w:t>
      </w:r>
      <w:r w:rsidR="00016F49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F5633E">
        <w:rPr>
          <w:b/>
          <w:color w:val="auto"/>
        </w:rPr>
        <w:t xml:space="preserve">              </w:t>
      </w:r>
      <w:proofErr w:type="spellStart"/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  <w:proofErr w:type="spellEnd"/>
    </w:p>
    <w:p w:rsidR="00EC63EA" w:rsidRPr="00366FF8" w:rsidRDefault="00EC63EA" w:rsidP="00F5633E">
      <w:pPr>
        <w:jc w:val="both"/>
        <w:rPr>
          <w:b/>
          <w:color w:val="auto"/>
        </w:rPr>
      </w:pPr>
    </w:p>
    <w:p w:rsidR="00F26D78" w:rsidRPr="00CF4436" w:rsidRDefault="00F5633E" w:rsidP="00CF4436">
      <w:pPr>
        <w:snapToGrid w:val="0"/>
        <w:ind w:left="-567" w:right="283" w:firstLine="709"/>
        <w:jc w:val="both"/>
      </w:pPr>
      <w:proofErr w:type="gramStart"/>
      <w:r w:rsidRPr="00554676">
        <w:rPr>
          <w:color w:val="auto"/>
        </w:rPr>
        <w:t>Председатель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Pr="00554676">
        <w:rPr>
          <w:color w:val="auto"/>
        </w:rPr>
        <w:t xml:space="preserve">атьей </w:t>
      </w:r>
      <w:r w:rsidRPr="00761D1E">
        <w:rPr>
          <w:color w:val="auto"/>
        </w:rPr>
        <w:t xml:space="preserve">18.1 Федерального закона </w:t>
      </w:r>
      <w:r w:rsidR="0058152D" w:rsidRPr="00761D1E">
        <w:rPr>
          <w:color w:val="auto"/>
        </w:rPr>
        <w:t xml:space="preserve">от 26.07.2006 </w:t>
      </w:r>
      <w:r w:rsidRPr="00761D1E">
        <w:rPr>
          <w:color w:val="auto"/>
        </w:rPr>
        <w:t>года № 135-ФЗ «О защите конкуренции»</w:t>
      </w:r>
      <w:r w:rsidR="0058152D" w:rsidRPr="00761D1E">
        <w:rPr>
          <w:color w:val="auto"/>
        </w:rPr>
        <w:t xml:space="preserve"> (дале</w:t>
      </w:r>
      <w:r w:rsidRPr="00761D1E">
        <w:rPr>
          <w:color w:val="auto"/>
        </w:rPr>
        <w:t>е – Закон о защите конкуренции)</w:t>
      </w:r>
      <w:r w:rsidR="0058152D" w:rsidRPr="00761D1E">
        <w:rPr>
          <w:color w:val="auto"/>
        </w:rPr>
        <w:t xml:space="preserve"> Плиев Р.Р.</w:t>
      </w:r>
      <w:r w:rsidR="0058152D" w:rsidRPr="00554676">
        <w:rPr>
          <w:color w:val="auto"/>
        </w:rPr>
        <w:t xml:space="preserve">, </w:t>
      </w:r>
      <w:r w:rsidR="00BE78C1" w:rsidRPr="00554676">
        <w:t>рассмотрев жалобу</w:t>
      </w:r>
      <w:r w:rsidR="00F26D78">
        <w:t xml:space="preserve"> </w:t>
      </w:r>
      <w:r w:rsidR="00405F91">
        <w:t>ИП М</w:t>
      </w:r>
      <w:r w:rsidR="00CF4436">
        <w:t>.</w:t>
      </w:r>
      <w:r w:rsidR="00A82CA5">
        <w:t>П.А.</w:t>
      </w:r>
      <w:r w:rsidR="00CF4436">
        <w:t xml:space="preserve"> </w:t>
      </w:r>
      <w:r w:rsidR="00DE36E2" w:rsidRPr="00554676">
        <w:rPr>
          <w:color w:val="auto"/>
        </w:rPr>
        <w:t>н</w:t>
      </w:r>
      <w:r w:rsidR="00DA2228" w:rsidRPr="00554676">
        <w:rPr>
          <w:color w:val="auto"/>
        </w:rPr>
        <w:t xml:space="preserve">а действия </w:t>
      </w:r>
      <w:r w:rsidR="0044002C">
        <w:rPr>
          <w:color w:val="auto"/>
        </w:rPr>
        <w:t xml:space="preserve">Конкурсного управляющего </w:t>
      </w:r>
      <w:r w:rsidR="0044002C" w:rsidRPr="0044002C">
        <w:rPr>
          <w:color w:val="auto"/>
        </w:rPr>
        <w:t xml:space="preserve"> ООО Фирма «</w:t>
      </w:r>
      <w:proofErr w:type="spellStart"/>
      <w:r w:rsidR="0044002C" w:rsidRPr="0044002C">
        <w:rPr>
          <w:color w:val="auto"/>
        </w:rPr>
        <w:t>Фиан</w:t>
      </w:r>
      <w:proofErr w:type="spellEnd"/>
      <w:r w:rsidR="0044002C" w:rsidRPr="0044002C">
        <w:rPr>
          <w:color w:val="auto"/>
        </w:rPr>
        <w:t>»</w:t>
      </w:r>
      <w:r w:rsidR="0044002C">
        <w:rPr>
          <w:color w:val="auto"/>
        </w:rPr>
        <w:t xml:space="preserve"> </w:t>
      </w:r>
      <w:r w:rsidR="00DA2228" w:rsidRPr="00554676">
        <w:rPr>
          <w:color w:val="auto"/>
        </w:rPr>
        <w:t>организато</w:t>
      </w:r>
      <w:r w:rsidR="004159BA" w:rsidRPr="00554676">
        <w:rPr>
          <w:color w:val="auto"/>
        </w:rPr>
        <w:t xml:space="preserve">ра </w:t>
      </w:r>
      <w:r w:rsidR="00F311D7" w:rsidRPr="00554676">
        <w:rPr>
          <w:color w:val="auto"/>
        </w:rPr>
        <w:t>торгов</w:t>
      </w:r>
      <w:r w:rsidR="004159BA" w:rsidRPr="00554676">
        <w:rPr>
          <w:color w:val="auto"/>
        </w:rPr>
        <w:t xml:space="preserve"> – </w:t>
      </w:r>
      <w:r w:rsidR="0044002C">
        <w:t>Б</w:t>
      </w:r>
      <w:r w:rsidR="00CF4436">
        <w:t>.</w:t>
      </w:r>
      <w:r w:rsidR="0044002C">
        <w:t xml:space="preserve"> С</w:t>
      </w:r>
      <w:r w:rsidR="00CF4436">
        <w:t>.</w:t>
      </w:r>
      <w:r w:rsidR="0044002C">
        <w:t xml:space="preserve"> В</w:t>
      </w:r>
      <w:r w:rsidR="00CF4436">
        <w:t>.</w:t>
      </w:r>
      <w:r w:rsidR="0044002C">
        <w:t xml:space="preserve"> </w:t>
      </w:r>
      <w:r w:rsidR="009F6F1C" w:rsidRPr="00554676">
        <w:rPr>
          <w:color w:val="auto"/>
        </w:rPr>
        <w:t>при проведении</w:t>
      </w:r>
      <w:r w:rsidR="00405F91">
        <w:rPr>
          <w:color w:val="auto"/>
        </w:rPr>
        <w:t xml:space="preserve"> открытых</w:t>
      </w:r>
      <w:r w:rsidR="009F6F1C" w:rsidRPr="00554676">
        <w:rPr>
          <w:color w:val="auto"/>
        </w:rPr>
        <w:t xml:space="preserve"> </w:t>
      </w:r>
      <w:r w:rsidR="00F26D78">
        <w:rPr>
          <w:color w:val="auto"/>
        </w:rPr>
        <w:t xml:space="preserve">торгов, извещение </w:t>
      </w:r>
      <w:r w:rsidR="0044002C">
        <w:rPr>
          <w:color w:val="auto"/>
        </w:rPr>
        <w:t xml:space="preserve"> №93</w:t>
      </w:r>
      <w:r w:rsidR="00405F91">
        <w:rPr>
          <w:color w:val="auto"/>
        </w:rPr>
        <w:t xml:space="preserve">0 </w:t>
      </w:r>
      <w:r w:rsidR="0044002C">
        <w:rPr>
          <w:color w:val="auto"/>
        </w:rPr>
        <w:t xml:space="preserve">– ОТПП </w:t>
      </w:r>
      <w:r w:rsidR="00A82CA5">
        <w:rPr>
          <w:color w:val="auto"/>
        </w:rPr>
        <w:t>в форме публичного предложения по</w:t>
      </w:r>
      <w:proofErr w:type="gramEnd"/>
      <w:r w:rsidR="00A82CA5">
        <w:rPr>
          <w:color w:val="auto"/>
        </w:rPr>
        <w:t xml:space="preserve"> продаже имущества </w:t>
      </w:r>
      <w:r w:rsidR="00405F91">
        <w:rPr>
          <w:color w:val="auto"/>
        </w:rPr>
        <w:t xml:space="preserve"> должника по Лоту №1 н</w:t>
      </w:r>
      <w:r w:rsidR="00857689">
        <w:rPr>
          <w:color w:val="auto"/>
        </w:rPr>
        <w:t>ежилое здание, литер</w:t>
      </w:r>
      <w:proofErr w:type="gramStart"/>
      <w:r w:rsidR="00857689">
        <w:rPr>
          <w:color w:val="auto"/>
        </w:rPr>
        <w:t xml:space="preserve"> </w:t>
      </w:r>
      <w:r w:rsidR="00405F91" w:rsidRPr="00405F91">
        <w:rPr>
          <w:color w:val="auto"/>
        </w:rPr>
        <w:t>А</w:t>
      </w:r>
      <w:proofErr w:type="gramEnd"/>
      <w:r w:rsidR="00405F91" w:rsidRPr="00405F91">
        <w:rPr>
          <w:color w:val="auto"/>
        </w:rPr>
        <w:t>, кадастровый №15:09:0011509:79, площадь 1018,3кв.м., начальная цена 34 288 200р. Земельный участок (аренда), кадастровый №15:09:0011509:006, площадь 4598,0кв.м., начальная цена 19 818 000р. Начальная цена продажи лота 54 106 200 рублей без НДС. Нежилое здание обременено ипотекой АКБ «БРР»</w:t>
      </w:r>
      <w:r w:rsidR="00857689">
        <w:rPr>
          <w:color w:val="auto"/>
        </w:rPr>
        <w:t xml:space="preserve"> </w:t>
      </w:r>
      <w:r w:rsidR="00405F91" w:rsidRPr="00405F91">
        <w:rPr>
          <w:color w:val="auto"/>
        </w:rPr>
        <w:t>(ОАО), земельный участок без обременений, все имущество лота №1 располагается по адресу: РСО-Алания, г.</w:t>
      </w:r>
      <w:r w:rsidR="00405F91">
        <w:rPr>
          <w:color w:val="auto"/>
        </w:rPr>
        <w:t xml:space="preserve"> </w:t>
      </w:r>
      <w:r w:rsidR="00405F91" w:rsidRPr="00405F91">
        <w:rPr>
          <w:color w:val="auto"/>
        </w:rPr>
        <w:t xml:space="preserve">Владикавказ, </w:t>
      </w:r>
      <w:proofErr w:type="spellStart"/>
      <w:r w:rsidR="00405F91" w:rsidRPr="00405F91">
        <w:rPr>
          <w:color w:val="auto"/>
        </w:rPr>
        <w:t>Карцинское</w:t>
      </w:r>
      <w:proofErr w:type="spellEnd"/>
      <w:r w:rsidR="00405F91" w:rsidRPr="00405F91">
        <w:rPr>
          <w:color w:val="auto"/>
        </w:rPr>
        <w:t xml:space="preserve"> шоссе,7</w:t>
      </w:r>
      <w:r w:rsidR="00F26D78" w:rsidRPr="00F26D78">
        <w:rPr>
          <w:color w:val="auto"/>
        </w:rPr>
        <w:t xml:space="preserve"> (далее </w:t>
      </w:r>
      <w:proofErr w:type="gramStart"/>
      <w:r w:rsidR="00F26D78" w:rsidRPr="00F26D78">
        <w:rPr>
          <w:color w:val="auto"/>
        </w:rPr>
        <w:t>–Т</w:t>
      </w:r>
      <w:proofErr w:type="gramEnd"/>
      <w:r w:rsidR="00F26D78" w:rsidRPr="00F26D78">
        <w:rPr>
          <w:color w:val="auto"/>
        </w:rPr>
        <w:t>орги),</w:t>
      </w:r>
    </w:p>
    <w:p w:rsidR="00F26D78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366FF8" w:rsidRDefault="00F26D78" w:rsidP="00F26D78">
      <w:pPr>
        <w:snapToGrid w:val="0"/>
        <w:ind w:left="-567" w:right="283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B76DB" w:rsidRDefault="00405F91" w:rsidP="00405F91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13 февраля</w:t>
      </w:r>
      <w:r w:rsidR="00F26D78">
        <w:rPr>
          <w:color w:val="auto"/>
        </w:rPr>
        <w:t xml:space="preserve"> </w:t>
      </w:r>
      <w:r w:rsidR="00016F49">
        <w:rPr>
          <w:color w:val="auto"/>
        </w:rPr>
        <w:t xml:space="preserve"> 2019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405F91">
        <w:t>ИП М</w:t>
      </w:r>
      <w:r w:rsidR="00CF4436">
        <w:t>.</w:t>
      </w:r>
      <w:r w:rsidRPr="00405F91">
        <w:t>П.А.</w:t>
      </w:r>
      <w:r>
        <w:t xml:space="preserve"> </w:t>
      </w:r>
      <w:r w:rsidRPr="00405F91">
        <w:t xml:space="preserve"> </w:t>
      </w:r>
      <w:r w:rsidR="003B76DB" w:rsidRPr="003B76DB">
        <w:rPr>
          <w:color w:val="auto"/>
        </w:rPr>
        <w:t xml:space="preserve">(далее – Заявитель) на действия организатора </w:t>
      </w:r>
      <w:r w:rsidR="00554676">
        <w:rPr>
          <w:color w:val="auto"/>
        </w:rPr>
        <w:t>Торгов</w:t>
      </w:r>
      <w:r w:rsidR="003B76DB" w:rsidRPr="003B76DB">
        <w:rPr>
          <w:color w:val="auto"/>
        </w:rPr>
        <w:t xml:space="preserve"> – </w:t>
      </w:r>
      <w:r w:rsidRPr="00405F91">
        <w:rPr>
          <w:color w:val="auto"/>
        </w:rPr>
        <w:t>Б</w:t>
      </w:r>
      <w:r w:rsidR="00CF4436">
        <w:rPr>
          <w:color w:val="auto"/>
        </w:rPr>
        <w:t>.</w:t>
      </w:r>
      <w:r w:rsidR="00761D1E">
        <w:rPr>
          <w:color w:val="auto"/>
        </w:rPr>
        <w:t xml:space="preserve">С.В </w:t>
      </w:r>
      <w:r w:rsidR="003B76DB" w:rsidRPr="003B76DB">
        <w:rPr>
          <w:color w:val="auto"/>
        </w:rPr>
        <w:t xml:space="preserve">при проведении </w:t>
      </w:r>
      <w:r w:rsidR="00F26D78">
        <w:rPr>
          <w:color w:val="auto"/>
        </w:rPr>
        <w:t>Торгов</w:t>
      </w:r>
      <w:proofErr w:type="gramStart"/>
      <w:r w:rsidR="00F26D78">
        <w:rPr>
          <w:color w:val="auto"/>
        </w:rPr>
        <w:t xml:space="preserve"> </w:t>
      </w:r>
      <w:r w:rsidR="003B76DB" w:rsidRPr="003B76DB">
        <w:rPr>
          <w:color w:val="auto"/>
        </w:rPr>
        <w:t>.</w:t>
      </w:r>
      <w:proofErr w:type="gramEnd"/>
    </w:p>
    <w:p w:rsidR="00F26D78" w:rsidRDefault="00366FF8" w:rsidP="00554676">
      <w:pPr>
        <w:ind w:left="-567" w:right="283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44002C">
        <w:rPr>
          <w:color w:val="auto"/>
        </w:rPr>
        <w:t xml:space="preserve">что Организатор торгов </w:t>
      </w:r>
      <w:r w:rsidR="00761D1E">
        <w:rPr>
          <w:color w:val="auto"/>
        </w:rPr>
        <w:t xml:space="preserve"> </w:t>
      </w:r>
      <w:r w:rsidR="0044002C">
        <w:rPr>
          <w:color w:val="auto"/>
        </w:rPr>
        <w:t>нарушил</w:t>
      </w:r>
      <w:r w:rsidR="00F26D78" w:rsidRPr="00F26D78">
        <w:rPr>
          <w:color w:val="auto"/>
        </w:rPr>
        <w:t xml:space="preserve"> требования действующего законодательства при проведении Торгов. </w:t>
      </w:r>
    </w:p>
    <w:p w:rsidR="00D46A19" w:rsidRDefault="00D46A19" w:rsidP="00554676">
      <w:pPr>
        <w:ind w:left="-567" w:right="283" w:firstLine="709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554676">
      <w:pPr>
        <w:ind w:left="-567" w:right="283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</w:t>
      </w:r>
      <w:r w:rsidR="00405F91">
        <w:rPr>
          <w:b/>
          <w:color w:val="auto"/>
        </w:rPr>
        <w:t>2</w:t>
      </w:r>
      <w:r w:rsidRPr="00366FF8">
        <w:rPr>
          <w:b/>
          <w:color w:val="auto"/>
        </w:rPr>
        <w:t xml:space="preserve">часов </w:t>
      </w:r>
      <w:r w:rsidR="00405F91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405F91">
        <w:rPr>
          <w:b/>
          <w:color w:val="auto"/>
        </w:rPr>
        <w:t>20</w:t>
      </w:r>
      <w:r w:rsidR="00F26D78">
        <w:rPr>
          <w:b/>
          <w:color w:val="auto"/>
        </w:rPr>
        <w:t xml:space="preserve"> февраля </w:t>
      </w:r>
      <w:r w:rsidR="003B45E6">
        <w:rPr>
          <w:b/>
          <w:color w:val="auto"/>
        </w:rPr>
        <w:t>2019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>Республика Северная Осетия – Алания, г. Владикавказ, ул</w:t>
      </w:r>
      <w:proofErr w:type="gramStart"/>
      <w:r w:rsidR="00554676">
        <w:rPr>
          <w:color w:val="auto"/>
        </w:rPr>
        <w:t>.</w:t>
      </w:r>
      <w:r w:rsidRPr="00366FF8">
        <w:rPr>
          <w:color w:val="auto"/>
        </w:rPr>
        <w:t>Ш</w:t>
      </w:r>
      <w:proofErr w:type="gramEnd"/>
      <w:r w:rsidRPr="00366FF8">
        <w:rPr>
          <w:color w:val="auto"/>
        </w:rPr>
        <w:t>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8335A5" w:rsidRPr="00EF29AC">
        <w:rPr>
          <w:b/>
          <w:color w:val="auto"/>
        </w:rPr>
        <w:t>Торг</w:t>
      </w:r>
      <w:r w:rsidR="00550059" w:rsidRPr="00EF29AC">
        <w:rPr>
          <w:b/>
          <w:color w:val="auto"/>
        </w:rPr>
        <w:t>и</w:t>
      </w:r>
      <w:r w:rsidR="008335A5" w:rsidRPr="00EF29AC">
        <w:rPr>
          <w:b/>
          <w:color w:val="auto"/>
        </w:rPr>
        <w:t xml:space="preserve"> </w:t>
      </w:r>
      <w:r w:rsidRPr="00EF29AC">
        <w:rPr>
          <w:b/>
          <w:color w:val="auto"/>
        </w:rPr>
        <w:t>приостанавливаются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 xml:space="preserve">до рассмотрения жалобы по </w:t>
      </w:r>
      <w:r w:rsidR="00554676" w:rsidRPr="00EF29AC">
        <w:rPr>
          <w:b/>
          <w:color w:val="auto"/>
        </w:rPr>
        <w:t>существу, а</w:t>
      </w:r>
      <w:r w:rsidR="003B45E6">
        <w:rPr>
          <w:b/>
          <w:color w:val="auto"/>
        </w:rPr>
        <w:t xml:space="preserve"> </w:t>
      </w:r>
      <w:r w:rsidR="0044002C" w:rsidRPr="0044002C">
        <w:rPr>
          <w:b/>
          <w:color w:val="auto"/>
        </w:rPr>
        <w:t xml:space="preserve">Организатор торгов  </w:t>
      </w:r>
      <w:r w:rsidR="0044002C">
        <w:rPr>
          <w:b/>
          <w:color w:val="auto"/>
        </w:rPr>
        <w:t xml:space="preserve">не </w:t>
      </w:r>
      <w:proofErr w:type="gramStart"/>
      <w:r w:rsidR="0044002C">
        <w:rPr>
          <w:b/>
          <w:color w:val="auto"/>
        </w:rPr>
        <w:t xml:space="preserve">в </w:t>
      </w:r>
      <w:r w:rsidR="003B45E6">
        <w:rPr>
          <w:b/>
          <w:color w:val="auto"/>
        </w:rPr>
        <w:t>праве</w:t>
      </w:r>
      <w:proofErr w:type="gramEnd"/>
      <w:r w:rsidR="003B45E6">
        <w:rPr>
          <w:b/>
          <w:color w:val="auto"/>
        </w:rPr>
        <w:t xml:space="preserve"> заключать договор по итогам проведения торгов </w:t>
      </w:r>
      <w:r w:rsidRPr="00EF29AC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DB7642" w:rsidRPr="00DB7642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защите конкуренции, </w:t>
      </w:r>
      <w:r w:rsidR="00DB7642" w:rsidRPr="00DB7642">
        <w:rPr>
          <w:color w:val="auto"/>
        </w:rPr>
        <w:t xml:space="preserve">организатору торгов – </w:t>
      </w:r>
      <w:r w:rsidR="00405F91" w:rsidRPr="00405F91">
        <w:rPr>
          <w:b/>
          <w:color w:val="auto"/>
        </w:rPr>
        <w:t>Б</w:t>
      </w:r>
      <w:r w:rsidR="00CF4436">
        <w:rPr>
          <w:b/>
          <w:color w:val="auto"/>
        </w:rPr>
        <w:t>.</w:t>
      </w:r>
      <w:r w:rsidR="00405F91" w:rsidRPr="00405F91">
        <w:rPr>
          <w:b/>
          <w:color w:val="auto"/>
        </w:rPr>
        <w:t>С.В.</w:t>
      </w:r>
      <w:r w:rsidR="00DB7642" w:rsidRPr="00DB7642">
        <w:rPr>
          <w:color w:val="auto"/>
        </w:rPr>
        <w:t>: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8335A5">
        <w:rPr>
          <w:color w:val="auto"/>
        </w:rPr>
        <w:t>Торгах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D132E5" w:rsidRDefault="00D132E5" w:rsidP="00EF29AC">
      <w:pPr>
        <w:ind w:left="-567" w:right="283" w:firstLine="709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54676">
        <w:rPr>
          <w:b/>
          <w:color w:val="auto"/>
        </w:rPr>
        <w:t>5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1D21B8">
        <w:rPr>
          <w:b/>
          <w:color w:val="auto"/>
        </w:rPr>
        <w:t>18</w:t>
      </w:r>
      <w:r w:rsidR="00F26D78">
        <w:rPr>
          <w:b/>
          <w:color w:val="auto"/>
        </w:rPr>
        <w:t xml:space="preserve"> февраля </w:t>
      </w:r>
      <w:r w:rsidR="00DB7642">
        <w:rPr>
          <w:b/>
          <w:color w:val="auto"/>
        </w:rPr>
        <w:t>201</w:t>
      </w:r>
      <w:r w:rsidR="003B45E6">
        <w:rPr>
          <w:b/>
          <w:color w:val="auto"/>
        </w:rPr>
        <w:t>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</w:t>
      </w:r>
      <w:r w:rsidR="003B45E6">
        <w:rPr>
          <w:color w:val="auto"/>
        </w:rPr>
        <w:t xml:space="preserve"> проведении  Торгов</w:t>
      </w:r>
      <w:r w:rsidRPr="00D132E5">
        <w:rPr>
          <w:color w:val="auto"/>
        </w:rPr>
        <w:t>,</w:t>
      </w:r>
      <w:r w:rsidR="003B45E6">
        <w:rPr>
          <w:color w:val="auto"/>
        </w:rPr>
        <w:t xml:space="preserve"> ее </w:t>
      </w:r>
      <w:r w:rsidRPr="00D132E5">
        <w:rPr>
          <w:color w:val="auto"/>
        </w:rPr>
        <w:t xml:space="preserve"> изменений,</w:t>
      </w:r>
      <w:r w:rsidR="003B45E6">
        <w:rPr>
          <w:color w:val="auto"/>
        </w:rPr>
        <w:t xml:space="preserve"> заявки на участие в Торгах,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копии всех протоколов</w:t>
      </w:r>
      <w:r w:rsidRPr="00D132E5">
        <w:rPr>
          <w:color w:val="auto"/>
        </w:rPr>
        <w:t xml:space="preserve"> </w:t>
      </w:r>
      <w:r w:rsidR="003B45E6">
        <w:rPr>
          <w:color w:val="auto"/>
        </w:rPr>
        <w:t>составленных при проведении Торгов, копии</w:t>
      </w:r>
      <w:proofErr w:type="gramEnd"/>
      <w:r w:rsidR="003B45E6">
        <w:rPr>
          <w:color w:val="auto"/>
        </w:rPr>
        <w:t xml:space="preserve"> </w:t>
      </w:r>
      <w:proofErr w:type="gramStart"/>
      <w:r w:rsidR="003B45E6">
        <w:rPr>
          <w:color w:val="auto"/>
        </w:rPr>
        <w:t>всех договоров заключенных по итогам проведения Торгов,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в слу</w:t>
      </w:r>
      <w:r w:rsidR="001D3135">
        <w:rPr>
          <w:color w:val="auto"/>
        </w:rPr>
        <w:t>ч</w:t>
      </w:r>
      <w:r w:rsidR="003B45E6">
        <w:rPr>
          <w:color w:val="auto"/>
        </w:rPr>
        <w:t xml:space="preserve">ае их заключения, и иные документы и сведения по Торгам </w:t>
      </w:r>
      <w:r w:rsidRPr="00EF29AC">
        <w:rPr>
          <w:b/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EF29AC">
        <w:rPr>
          <w:b/>
          <w:color w:val="auto"/>
        </w:rPr>
        <w:t>)</w:t>
      </w:r>
      <w:r w:rsidRPr="00D132E5">
        <w:rPr>
          <w:color w:val="auto"/>
        </w:rPr>
        <w:t>.</w:t>
      </w:r>
      <w:proofErr w:type="gramEnd"/>
    </w:p>
    <w:p w:rsidR="00D132E5" w:rsidRDefault="00D132E5" w:rsidP="00EF29AC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EF29AC" w:rsidRDefault="00EF29AC" w:rsidP="00EF29AC">
      <w:pPr>
        <w:ind w:left="-567" w:right="283" w:firstLine="709"/>
        <w:jc w:val="both"/>
        <w:rPr>
          <w:color w:val="auto"/>
        </w:rPr>
      </w:pPr>
    </w:p>
    <w:p w:rsidR="00366FF8" w:rsidRPr="00EF29AC" w:rsidRDefault="00366FF8" w:rsidP="00EF29AC">
      <w:pPr>
        <w:ind w:left="-567" w:right="283" w:firstLine="709"/>
        <w:jc w:val="both"/>
        <w:rPr>
          <w:b/>
          <w:color w:val="auto"/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405F91" w:rsidRPr="00405F91">
        <w:rPr>
          <w:sz w:val="22"/>
          <w:szCs w:val="22"/>
        </w:rPr>
        <w:t>ИП М</w:t>
      </w:r>
      <w:r w:rsidR="00CF4436">
        <w:rPr>
          <w:sz w:val="22"/>
          <w:szCs w:val="22"/>
        </w:rPr>
        <w:t>.</w:t>
      </w:r>
      <w:bookmarkStart w:id="0" w:name="_GoBack"/>
      <w:bookmarkEnd w:id="0"/>
      <w:r w:rsidR="00405F91" w:rsidRPr="00405F91">
        <w:rPr>
          <w:sz w:val="22"/>
          <w:szCs w:val="22"/>
        </w:rPr>
        <w:t xml:space="preserve">П.А.  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405F91">
        <w:rPr>
          <w:sz w:val="22"/>
          <w:szCs w:val="22"/>
        </w:rPr>
        <w:t>2 –х</w:t>
      </w:r>
      <w:r w:rsidR="00F26D78">
        <w:rPr>
          <w:sz w:val="22"/>
          <w:szCs w:val="22"/>
        </w:rPr>
        <w:t xml:space="preserve">  листах</w:t>
      </w:r>
      <w:r w:rsidR="0019226D" w:rsidRPr="00EF29AC">
        <w:rPr>
          <w:sz w:val="22"/>
          <w:szCs w:val="22"/>
        </w:rPr>
        <w:t>.</w:t>
      </w:r>
    </w:p>
    <w:p w:rsidR="0080623B" w:rsidRDefault="0080623B" w:rsidP="00F5633E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Default="009E2BAC" w:rsidP="00EF29AC">
      <w:pPr>
        <w:ind w:left="-567" w:right="283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</w:t>
      </w:r>
      <w:r w:rsidR="00EF29AC">
        <w:rPr>
          <w:b/>
          <w:color w:val="auto"/>
        </w:rPr>
        <w:t>ии</w:t>
      </w:r>
      <w:r w:rsidR="0080623B">
        <w:rPr>
          <w:b/>
          <w:color w:val="auto"/>
        </w:rPr>
        <w:t xml:space="preserve">   </w:t>
      </w:r>
      <w:r w:rsidR="00EF29AC">
        <w:rPr>
          <w:b/>
          <w:color w:val="auto"/>
        </w:rPr>
        <w:t xml:space="preserve">                                                                       </w:t>
      </w:r>
      <w:r w:rsidRPr="009E2BAC">
        <w:rPr>
          <w:b/>
          <w:color w:val="auto"/>
        </w:rPr>
        <w:t>Р.Р. Плиев</w:t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9E2BAC" w:rsidRDefault="00EA109D" w:rsidP="00EF29AC">
      <w:pPr>
        <w:ind w:left="-567" w:right="283"/>
        <w:jc w:val="both"/>
        <w:rPr>
          <w:b/>
          <w:color w:val="auto"/>
        </w:rPr>
      </w:pPr>
    </w:p>
    <w:sectPr w:rsidR="00EA109D" w:rsidRPr="009E2BAC" w:rsidSect="004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6F49"/>
    <w:rsid w:val="00030D99"/>
    <w:rsid w:val="00036E2D"/>
    <w:rsid w:val="000405AC"/>
    <w:rsid w:val="0004411B"/>
    <w:rsid w:val="00053313"/>
    <w:rsid w:val="000B1E72"/>
    <w:rsid w:val="000C0B9D"/>
    <w:rsid w:val="0019226D"/>
    <w:rsid w:val="001D21B8"/>
    <w:rsid w:val="001D3135"/>
    <w:rsid w:val="002304EA"/>
    <w:rsid w:val="002B273B"/>
    <w:rsid w:val="002E3DF7"/>
    <w:rsid w:val="002F6617"/>
    <w:rsid w:val="00341BD2"/>
    <w:rsid w:val="0034221B"/>
    <w:rsid w:val="00366FF8"/>
    <w:rsid w:val="00376736"/>
    <w:rsid w:val="00397A52"/>
    <w:rsid w:val="003B45E6"/>
    <w:rsid w:val="003B76DB"/>
    <w:rsid w:val="003C18B5"/>
    <w:rsid w:val="003D27EB"/>
    <w:rsid w:val="003D3191"/>
    <w:rsid w:val="003D7E8D"/>
    <w:rsid w:val="00405F91"/>
    <w:rsid w:val="0041100E"/>
    <w:rsid w:val="004159BA"/>
    <w:rsid w:val="004246D2"/>
    <w:rsid w:val="0044002C"/>
    <w:rsid w:val="0047261D"/>
    <w:rsid w:val="004B42D6"/>
    <w:rsid w:val="004B522F"/>
    <w:rsid w:val="004C07B8"/>
    <w:rsid w:val="004D56F8"/>
    <w:rsid w:val="0051305A"/>
    <w:rsid w:val="00517742"/>
    <w:rsid w:val="005428CC"/>
    <w:rsid w:val="00550059"/>
    <w:rsid w:val="00554676"/>
    <w:rsid w:val="005810DC"/>
    <w:rsid w:val="0058152D"/>
    <w:rsid w:val="005A0C91"/>
    <w:rsid w:val="005B6DF4"/>
    <w:rsid w:val="005C2FE0"/>
    <w:rsid w:val="005D306C"/>
    <w:rsid w:val="005F4A5C"/>
    <w:rsid w:val="00610079"/>
    <w:rsid w:val="00617ADB"/>
    <w:rsid w:val="00682241"/>
    <w:rsid w:val="00686A8A"/>
    <w:rsid w:val="006C4765"/>
    <w:rsid w:val="006F3232"/>
    <w:rsid w:val="00722CA8"/>
    <w:rsid w:val="00761D1E"/>
    <w:rsid w:val="0079584E"/>
    <w:rsid w:val="00796441"/>
    <w:rsid w:val="007D7BBE"/>
    <w:rsid w:val="007E7D6F"/>
    <w:rsid w:val="0080623B"/>
    <w:rsid w:val="00821AAD"/>
    <w:rsid w:val="008335A5"/>
    <w:rsid w:val="008479F1"/>
    <w:rsid w:val="00857689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82CA5"/>
    <w:rsid w:val="00AB3C6E"/>
    <w:rsid w:val="00B63AD4"/>
    <w:rsid w:val="00BC10BD"/>
    <w:rsid w:val="00BE2809"/>
    <w:rsid w:val="00BE78C1"/>
    <w:rsid w:val="00BF594A"/>
    <w:rsid w:val="00C03C2B"/>
    <w:rsid w:val="00C83A86"/>
    <w:rsid w:val="00CA2908"/>
    <w:rsid w:val="00CC4103"/>
    <w:rsid w:val="00CC55FF"/>
    <w:rsid w:val="00CF4436"/>
    <w:rsid w:val="00D077B2"/>
    <w:rsid w:val="00D132E5"/>
    <w:rsid w:val="00D34DB2"/>
    <w:rsid w:val="00D46A19"/>
    <w:rsid w:val="00D500F6"/>
    <w:rsid w:val="00D70CF2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A109D"/>
    <w:rsid w:val="00EC63EA"/>
    <w:rsid w:val="00EF29AC"/>
    <w:rsid w:val="00F26D78"/>
    <w:rsid w:val="00F311D7"/>
    <w:rsid w:val="00F54969"/>
    <w:rsid w:val="00F5633E"/>
    <w:rsid w:val="00F761FE"/>
    <w:rsid w:val="00F815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7DD6-E2DD-4D3B-9A07-6215693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2019-02-15T09:27:00Z</cp:lastPrinted>
  <dcterms:created xsi:type="dcterms:W3CDTF">2019-02-18T11:59:00Z</dcterms:created>
  <dcterms:modified xsi:type="dcterms:W3CDTF">2019-02-18T11:59:00Z</dcterms:modified>
</cp:coreProperties>
</file>